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</w:pPr>
      <w:r>
        <w:rPr>
          <w:rFonts w:cs="Times New Roman" w:ascii="Times New Roman" w:hAnsi="Times New Roman"/>
          <w:b/>
          <w:sz w:val="36"/>
        </w:rPr>
        <w:t>Общий алгоритм по некорневым обработкам винограда</w:t>
      </w:r>
      <w:r/>
    </w:p>
    <w:p>
      <w:pPr>
        <w:pStyle w:val="Normal"/>
        <w:jc w:val="center"/>
        <w:rPr>
          <w:sz w:val="28"/>
          <w:b/>
          <w:sz w:val="28"/>
          <w:b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36"/>
        </w:rPr>
        <w:t>от НПО БИОЦЕНТР на основе опыта работы в течение 7 лет на столовом и техническом винограде (Луганская область, Ростовская область, Краснодарский край, Южный Урал).</w:t>
      </w:r>
      <w:r/>
    </w:p>
    <w:p>
      <w:pPr>
        <w:pStyle w:val="Normal"/>
        <w:rPr>
          <w:sz w:val="24"/>
          <w:sz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</w:rPr>
      </w:r>
      <w:r/>
    </w:p>
    <w:p>
      <w:pPr>
        <w:pStyle w:val="ListParagraph"/>
        <w:numPr>
          <w:ilvl w:val="0"/>
          <w:numId w:val="1"/>
        </w:numPr>
        <w:spacing w:lineRule="auto" w:line="360"/>
        <w:rPr>
          <w:sz w:val="24"/>
          <w:sz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</w:rPr>
        <w:t>Обработка винограда 1% раствором железного купороса для подавления комплекса возбудителей болезней винограда грибной природы. Температура весной +4 град.С и выше.</w:t>
      </w:r>
      <w:r/>
    </w:p>
    <w:p>
      <w:pPr>
        <w:pStyle w:val="ListParagraph"/>
        <w:spacing w:lineRule="auto" w:line="360"/>
        <w:rPr>
          <w:sz w:val="24"/>
          <w:sz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</w:rPr>
        <w:t>Фаза растрескивания почек.</w:t>
      </w:r>
      <w:r/>
    </w:p>
    <w:p>
      <w:pPr>
        <w:pStyle w:val="ListParagraph"/>
        <w:spacing w:lineRule="auto" w:line="360"/>
        <w:rPr>
          <w:sz w:val="24"/>
          <w:sz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</w:rPr>
        <w:t>Расход жидкости - повышенный: нужно хорошо смочить лозу. Приветствуется применение ПАВов и прилипателей.</w:t>
      </w:r>
      <w:r/>
    </w:p>
    <w:p>
      <w:pPr>
        <w:pStyle w:val="ListParagraph"/>
        <w:spacing w:lineRule="auto" w:line="360"/>
        <w:rPr>
          <w:sz w:val="24"/>
          <w:sz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</w:rPr>
      </w:r>
      <w:r/>
    </w:p>
    <w:p>
      <w:pPr>
        <w:pStyle w:val="ListParagraph"/>
        <w:numPr>
          <w:ilvl w:val="0"/>
          <w:numId w:val="1"/>
        </w:numPr>
        <w:rPr>
          <w:sz w:val="24"/>
          <w:sz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</w:rPr>
        <w:t xml:space="preserve">Обработка винограда в фазы от 2 листов до 5 дней до цветения. Обычно 2 обработки фунгицидами против </w:t>
      </w:r>
      <w:r>
        <w:rPr>
          <w:rFonts w:cs="Times New Roman" w:ascii="Times New Roman" w:hAnsi="Times New Roman"/>
          <w:b/>
          <w:sz w:val="24"/>
        </w:rPr>
        <w:t>оидиума</w:t>
      </w:r>
      <w:r>
        <w:rPr>
          <w:rFonts w:cs="Times New Roman" w:ascii="Times New Roman" w:hAnsi="Times New Roman"/>
          <w:sz w:val="24"/>
        </w:rPr>
        <w:t xml:space="preserve"> и </w:t>
      </w:r>
      <w:r>
        <w:rPr>
          <w:rFonts w:cs="Times New Roman" w:ascii="Times New Roman" w:hAnsi="Times New Roman"/>
          <w:b/>
          <w:sz w:val="24"/>
        </w:rPr>
        <w:t>мильдью</w:t>
      </w:r>
      <w:r>
        <w:rPr>
          <w:rFonts w:cs="Times New Roman" w:ascii="Times New Roman" w:hAnsi="Times New Roman"/>
          <w:sz w:val="24"/>
        </w:rPr>
        <w:t>.</w:t>
      </w:r>
      <w:r/>
    </w:p>
    <w:p>
      <w:pPr>
        <w:pStyle w:val="ListParagraph"/>
        <w:rPr>
          <w:sz w:val="24"/>
          <w:sz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</w:rPr>
        <w:t xml:space="preserve">В баковую смесь добавляются </w:t>
      </w:r>
      <w:r>
        <w:rPr>
          <w:rFonts w:cs="Times New Roman" w:ascii="Times New Roman" w:hAnsi="Times New Roman"/>
          <w:sz w:val="24"/>
          <w:lang w:val="en-US"/>
        </w:rPr>
        <w:t>NPK</w:t>
      </w:r>
      <w:r>
        <w:rPr>
          <w:rFonts w:cs="Times New Roman" w:ascii="Times New Roman" w:hAnsi="Times New Roman"/>
          <w:sz w:val="24"/>
        </w:rPr>
        <w:t xml:space="preserve"> с микроэлементами,</w:t>
      </w:r>
      <w:r/>
    </w:p>
    <w:p>
      <w:pPr>
        <w:pStyle w:val="ListParagraph"/>
        <w:rPr>
          <w:sz w:val="24"/>
          <w:sz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</w:rPr>
        <w:t xml:space="preserve">Плюс препараты Стимикс Стандарт, Фитостим Б или </w:t>
      </w:r>
      <w:r>
        <w:rPr>
          <w:rFonts w:cs="Times New Roman" w:ascii="Times New Roman" w:hAnsi="Times New Roman"/>
          <w:sz w:val="24"/>
          <w:lang w:val="en-US"/>
        </w:rPr>
        <w:t>Jp</w:t>
      </w:r>
      <w:r>
        <w:rPr>
          <w:rFonts w:cs="Times New Roman" w:ascii="Times New Roman" w:hAnsi="Times New Roman"/>
          <w:sz w:val="24"/>
        </w:rPr>
        <w:t xml:space="preserve"> (их можно чередовать).</w:t>
      </w:r>
      <w:r/>
    </w:p>
    <w:p>
      <w:pPr>
        <w:pStyle w:val="ListParagraph"/>
        <w:rPr>
          <w:sz w:val="24"/>
          <w:sz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</w:rPr>
        <w:t>Плюс 1 раз перед цветением – препарат Агростимулин (в баковой смеси) для улучшения завязываемости и повышения устойчивости лозы к грибным болезням за счет стимулирования неспецифического иммунитета растения.</w:t>
      </w:r>
      <w:r/>
    </w:p>
    <w:p>
      <w:pPr>
        <w:pStyle w:val="ListParagraph"/>
        <w:rPr>
          <w:sz w:val="24"/>
          <w:sz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</w:rPr>
        <w:t xml:space="preserve">Предлагается сделать дополнительные обработки (хотя бы одну) смесью препаратов Стимикс-Фитостимы плюс </w:t>
      </w:r>
      <w:r>
        <w:rPr>
          <w:rFonts w:cs="Times New Roman" w:ascii="Times New Roman" w:hAnsi="Times New Roman"/>
          <w:sz w:val="24"/>
          <w:lang w:val="en-US"/>
        </w:rPr>
        <w:t>NPK</w:t>
      </w:r>
      <w:r>
        <w:rPr>
          <w:rFonts w:cs="Times New Roman" w:ascii="Times New Roman" w:hAnsi="Times New Roman"/>
          <w:sz w:val="24"/>
        </w:rPr>
        <w:t xml:space="preserve"> с микроэлементами между фунгицидными обработками. </w:t>
      </w:r>
      <w:r/>
    </w:p>
    <w:p>
      <w:pPr>
        <w:pStyle w:val="ListParagraph"/>
        <w:rPr>
          <w:sz w:val="24"/>
          <w:sz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</w:rPr>
      </w:r>
      <w:r/>
    </w:p>
    <w:p>
      <w:pPr>
        <w:pStyle w:val="ListParagraph"/>
        <w:rPr>
          <w:sz w:val="24"/>
          <w:sz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</w:rPr>
        <w:t>Важное примечание:</w:t>
      </w:r>
      <w:r>
        <w:rPr>
          <w:rFonts w:cs="Times New Roman" w:ascii="Times New Roman" w:hAnsi="Times New Roman"/>
          <w:sz w:val="24"/>
        </w:rPr>
        <w:t xml:space="preserve"> всего для Крыма на винограде за период вегетации предлагается 4-5 комбинированных обработок: </w:t>
      </w:r>
      <w:r>
        <w:rPr>
          <w:rFonts w:cs="Times New Roman" w:ascii="Times New Roman" w:hAnsi="Times New Roman"/>
          <w:b/>
          <w:sz w:val="24"/>
        </w:rPr>
        <w:t>пестициды</w:t>
      </w:r>
      <w:r>
        <w:rPr>
          <w:rFonts w:cs="Times New Roman" w:ascii="Times New Roman" w:hAnsi="Times New Roman"/>
          <w:sz w:val="24"/>
        </w:rPr>
        <w:t xml:space="preserve"> (фунгициды плюс инсектициды (когда необходимо)) </w:t>
      </w:r>
      <w:r>
        <w:rPr>
          <w:rFonts w:cs="Times New Roman" w:ascii="Times New Roman" w:hAnsi="Times New Roman"/>
          <w:b/>
          <w:sz w:val="24"/>
        </w:rPr>
        <w:t>совместно с биологией и минеральным питанием</w:t>
      </w:r>
      <w:r>
        <w:rPr>
          <w:rFonts w:cs="Times New Roman" w:ascii="Times New Roman" w:hAnsi="Times New Roman"/>
          <w:sz w:val="24"/>
        </w:rPr>
        <w:t>. Плюс 8 обработок чисто биология плюс минеральное питание.</w:t>
      </w:r>
      <w:r/>
    </w:p>
    <w:p>
      <w:pPr>
        <w:pStyle w:val="ListParagraph"/>
        <w:rPr>
          <w:sz w:val="24"/>
          <w:sz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</w:rPr>
        <w:t>4-5</w:t>
      </w:r>
      <w:r>
        <w:rPr>
          <w:rFonts w:cs="Times New Roman" w:ascii="Times New Roman" w:hAnsi="Times New Roman"/>
          <w:sz w:val="24"/>
        </w:rPr>
        <w:t xml:space="preserve"> химических комбинированных;</w:t>
      </w:r>
      <w:r/>
    </w:p>
    <w:p>
      <w:pPr>
        <w:pStyle w:val="ListParagraph"/>
        <w:rPr>
          <w:sz w:val="24"/>
          <w:sz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</w:rPr>
        <w:t>12</w:t>
      </w:r>
      <w:r>
        <w:rPr>
          <w:rFonts w:cs="Times New Roman" w:ascii="Times New Roman" w:hAnsi="Times New Roman"/>
          <w:sz w:val="24"/>
        </w:rPr>
        <w:t xml:space="preserve"> (всего) биология плюс питание, с пестцидами или без.</w:t>
      </w:r>
      <w:r/>
    </w:p>
    <w:p>
      <w:pPr>
        <w:pStyle w:val="ListParagraph"/>
        <w:rPr>
          <w:sz w:val="24"/>
          <w:sz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</w:rPr>
        <w:t>Для подтягивания качества и сахаристости есть комбинация препаратов:</w:t>
      </w:r>
      <w:r/>
    </w:p>
    <w:p>
      <w:pPr>
        <w:pStyle w:val="ListParagraph"/>
        <w:rPr>
          <w:sz w:val="24"/>
          <w:sz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</w:rPr>
        <w:t>Стимикс «синенький» (для оттока сахаров – 1-2 раза) и Микроэлементный препарат «Космическая пыль» (2 раза).</w:t>
      </w:r>
      <w:r/>
    </w:p>
    <w:p>
      <w:pPr>
        <w:pStyle w:val="ListParagraph"/>
        <w:rPr>
          <w:sz w:val="24"/>
          <w:sz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</w:rPr>
        <w:t>Важно:</w:t>
      </w:r>
      <w:r>
        <w:rPr>
          <w:rFonts w:cs="Times New Roman" w:ascii="Times New Roman" w:hAnsi="Times New Roman"/>
          <w:sz w:val="24"/>
        </w:rPr>
        <w:t xml:space="preserve"> время обработки – вечерние и ночные часы.</w:t>
      </w:r>
      <w:r/>
    </w:p>
    <w:p>
      <w:pPr>
        <w:pStyle w:val="ListParagraph"/>
        <w:rPr>
          <w:sz w:val="24"/>
          <w:sz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</w:rPr>
      </w:r>
      <w:r/>
    </w:p>
    <w:p>
      <w:pPr>
        <w:pStyle w:val="ListParagraph"/>
        <w:numPr>
          <w:ilvl w:val="0"/>
          <w:numId w:val="1"/>
        </w:numPr>
        <w:rPr>
          <w:sz w:val="24"/>
          <w:sz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</w:rPr>
        <w:t xml:space="preserve">Листовые подкормки по листу </w:t>
      </w:r>
      <w:r>
        <w:rPr>
          <w:rFonts w:cs="Times New Roman" w:ascii="Times New Roman" w:hAnsi="Times New Roman"/>
          <w:b/>
          <w:sz w:val="24"/>
        </w:rPr>
        <w:t>после цветения</w:t>
      </w:r>
      <w:r>
        <w:rPr>
          <w:rFonts w:cs="Times New Roman" w:ascii="Times New Roman" w:hAnsi="Times New Roman"/>
          <w:sz w:val="24"/>
        </w:rPr>
        <w:t>:</w:t>
      </w:r>
      <w:r/>
    </w:p>
    <w:p>
      <w:pPr>
        <w:pStyle w:val="ListParagraph"/>
        <w:rPr>
          <w:sz w:val="24"/>
          <w:sz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</w:rPr>
        <w:t>Фунгициды против</w:t>
      </w:r>
      <w:r>
        <w:rPr>
          <w:rFonts w:cs="Times New Roman" w:ascii="Times New Roman" w:hAnsi="Times New Roman"/>
          <w:b/>
          <w:sz w:val="24"/>
        </w:rPr>
        <w:t xml:space="preserve"> мильдью</w:t>
      </w:r>
      <w:r>
        <w:rPr>
          <w:rFonts w:cs="Times New Roman" w:ascii="Times New Roman" w:hAnsi="Times New Roman"/>
          <w:sz w:val="24"/>
        </w:rPr>
        <w:t xml:space="preserve">, </w:t>
      </w:r>
      <w:r>
        <w:rPr>
          <w:rFonts w:cs="Times New Roman" w:ascii="Times New Roman" w:hAnsi="Times New Roman"/>
          <w:b/>
          <w:sz w:val="24"/>
        </w:rPr>
        <w:t>оидиума</w:t>
      </w:r>
      <w:r>
        <w:rPr>
          <w:rFonts w:cs="Times New Roman" w:ascii="Times New Roman" w:hAnsi="Times New Roman"/>
          <w:sz w:val="24"/>
        </w:rPr>
        <w:t xml:space="preserve"> и </w:t>
      </w:r>
      <w:r>
        <w:rPr>
          <w:rFonts w:cs="Times New Roman" w:ascii="Times New Roman" w:hAnsi="Times New Roman"/>
          <w:b/>
          <w:sz w:val="24"/>
        </w:rPr>
        <w:t>антракноза.</w:t>
      </w:r>
      <w:r/>
    </w:p>
    <w:p>
      <w:pPr>
        <w:pStyle w:val="ListParagraph"/>
        <w:rPr>
          <w:sz w:val="24"/>
          <w:sz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</w:rPr>
        <w:t xml:space="preserve">Инсектициды против </w:t>
      </w:r>
      <w:r>
        <w:rPr>
          <w:rFonts w:cs="Times New Roman" w:ascii="Times New Roman" w:hAnsi="Times New Roman"/>
          <w:b/>
          <w:sz w:val="24"/>
        </w:rPr>
        <w:t>комплекса вредителей</w:t>
      </w:r>
      <w:r>
        <w:rPr>
          <w:rFonts w:cs="Times New Roman" w:ascii="Times New Roman" w:hAnsi="Times New Roman"/>
          <w:sz w:val="24"/>
        </w:rPr>
        <w:t>.</w:t>
      </w:r>
      <w:r/>
    </w:p>
    <w:p>
      <w:pPr>
        <w:pStyle w:val="ListParagraph"/>
        <w:rPr>
          <w:sz w:val="24"/>
          <w:sz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</w:rPr>
        <w:t xml:space="preserve">Пестицидных комбинированных 2-3. </w:t>
      </w:r>
      <w:r/>
    </w:p>
    <w:p>
      <w:pPr>
        <w:pStyle w:val="ListParagraph"/>
        <w:rPr>
          <w:sz w:val="24"/>
          <w:sz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</w:rPr>
        <w:t>Отдельных беспестицидных: 8-9.</w:t>
      </w:r>
      <w:r/>
    </w:p>
    <w:p>
      <w:pPr>
        <w:pStyle w:val="ListParagraph"/>
        <w:rPr>
          <w:sz w:val="24"/>
          <w:sz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</w:rPr>
      </w:r>
      <w:r/>
    </w:p>
    <w:p>
      <w:pPr>
        <w:pStyle w:val="ListParagraph"/>
        <w:rPr>
          <w:sz w:val="24"/>
          <w:b/>
          <w:sz w:val="24"/>
          <w:b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</w:rPr>
        <w:t>Важное примечание:</w:t>
      </w:r>
      <w:r/>
    </w:p>
    <w:p>
      <w:pPr>
        <w:pStyle w:val="ListParagraph"/>
        <w:rPr>
          <w:sz w:val="24"/>
          <w:b/>
          <w:sz w:val="24"/>
          <w:b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</w:rPr>
        <w:t>Если отсутствует основное внесение минеральных или органических удобрений в почву, то предполагается, что некорневые обработки 2% карбамидом (многократно) плюс водорастворимый фосфор и микроэлементы в растворе смогут обеспечить рост растений и получение качественного высокого урожая винограда.</w:t>
      </w:r>
      <w:r/>
    </w:p>
    <w:p>
      <w:pPr>
        <w:pStyle w:val="ListParagraph"/>
        <w:rPr>
          <w:sz w:val="24"/>
          <w:b/>
          <w:sz w:val="24"/>
          <w:b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</w:rPr>
        <w:t>Если мы планируем работать на сезон 40-50 кг карбамида (разделенного на несколько многократных обработок) по листу, то это эквивалентно почти 2 ц/га аммиачной селитры, вносимой</w:t>
        <w:tab/>
        <w:t xml:space="preserve"> в почву.</w:t>
      </w:r>
      <w:r/>
    </w:p>
    <w:p>
      <w:pPr>
        <w:pStyle w:val="ListParagraph"/>
        <w:rPr>
          <w:sz w:val="24"/>
          <w:b/>
          <w:sz w:val="24"/>
          <w:b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</w:rPr>
        <w:t>Карбамид для некорневых подкормок надежней брать от крупных производителей (Еврохим, ФосАгро и др., так как там, как правило, очень низкий биурет).</w:t>
      </w:r>
      <w:r/>
    </w:p>
    <w:p>
      <w:pPr>
        <w:pStyle w:val="ListParagraph"/>
        <w:rPr>
          <w:sz w:val="24"/>
          <w:b/>
          <w:sz w:val="24"/>
          <w:b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</w:rPr>
        <w:t>К карбамиду добавляются – до 10 кг сульфата магния на гектар на весь сезон,</w:t>
      </w:r>
      <w:r/>
    </w:p>
    <w:p>
      <w:pPr>
        <w:pStyle w:val="ListParagraph"/>
        <w:rPr>
          <w:sz w:val="24"/>
          <w:b/>
          <w:sz w:val="24"/>
          <w:b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</w:rPr>
        <w:t>5-10 кг монокалий фосфата.</w:t>
      </w:r>
      <w:r/>
    </w:p>
    <w:p>
      <w:pPr>
        <w:pStyle w:val="ListParagraph"/>
        <w:rPr>
          <w:sz w:val="24"/>
          <w:b/>
          <w:sz w:val="24"/>
          <w:b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</w:rPr>
        <w:t>До 1 кг микроэлементных удобрений сложного состава.</w:t>
      </w:r>
      <w:r/>
    </w:p>
    <w:p>
      <w:pPr>
        <w:pStyle w:val="ListParagraph"/>
        <w:rPr>
          <w:sz w:val="24"/>
          <w:b/>
          <w:sz w:val="24"/>
          <w:b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</w:rPr>
        <w:t>Нужен примерно 1 кг борных удобрений (11-17%).</w:t>
      </w:r>
      <w:r/>
    </w:p>
    <w:p>
      <w:pPr>
        <w:pStyle w:val="ListParagraph"/>
        <w:rPr>
          <w:sz w:val="24"/>
          <w:b/>
          <w:sz w:val="24"/>
          <w:b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</w:rPr>
        <w:t>2 л ультраэлементных удобрений «Космическая пыль».</w:t>
      </w:r>
      <w:r/>
    </w:p>
    <w:p>
      <w:pPr>
        <w:pStyle w:val="ListParagraph"/>
        <w:rPr>
          <w:sz w:val="24"/>
          <w:b/>
          <w:sz w:val="24"/>
          <w:b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</w:rPr>
        <w:t>20 мл стимулятора Агростимулин (2 обработки).</w:t>
      </w:r>
      <w:r/>
    </w:p>
    <w:p>
      <w:pPr>
        <w:pStyle w:val="ListParagraph"/>
        <w:rPr>
          <w:sz w:val="24"/>
          <w:b/>
          <w:sz w:val="24"/>
          <w:b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</w:rPr>
        <w:t>0,2 л препарата «Синенький».</w:t>
      </w:r>
      <w:r/>
    </w:p>
    <w:p>
      <w:pPr>
        <w:pStyle w:val="ListParagraph"/>
        <w:rPr>
          <w:sz w:val="24"/>
          <w:b/>
          <w:sz w:val="24"/>
          <w:b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</w:rPr>
      </w:r>
      <w:r/>
    </w:p>
    <w:p>
      <w:pPr>
        <w:pStyle w:val="ListParagraph"/>
        <w:rPr>
          <w:sz w:val="24"/>
          <w:b/>
          <w:sz w:val="24"/>
          <w:b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</w:rPr>
        <w:t>При необходимости возможна обработка кальциевой селитрой 1-2% р-р – 1-2 раза (по данным листовой диагностики) и сульфатом калия.</w:t>
      </w:r>
      <w:r/>
    </w:p>
    <w:p>
      <w:pPr>
        <w:pStyle w:val="ListParagraph"/>
        <w:rPr>
          <w:sz w:val="24"/>
          <w:b/>
          <w:sz w:val="24"/>
          <w:b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</w:rPr>
      </w:r>
      <w:r/>
    </w:p>
    <w:p>
      <w:pPr>
        <w:pStyle w:val="ListParagraph"/>
        <w:rPr>
          <w:sz w:val="24"/>
          <w:b/>
          <w:sz w:val="24"/>
          <w:b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</w:rPr>
        <w:t>Схема, ее компоненты, кратность обработок определяются бюджетом предприятия.</w:t>
      </w:r>
      <w:r/>
    </w:p>
    <w:p>
      <w:pPr>
        <w:pStyle w:val="ListParagraph"/>
        <w:rPr>
          <w:sz w:val="24"/>
          <w:b/>
          <w:sz w:val="24"/>
          <w:b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</w:rPr>
      </w:r>
      <w:r/>
    </w:p>
    <w:p>
      <w:pPr>
        <w:pStyle w:val="ListParagraph"/>
        <w:rPr>
          <w:sz w:val="24"/>
          <w:b/>
          <w:sz w:val="24"/>
          <w:b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</w:rPr>
        <w:t>Для организации некорневых обработок в хозяйстве (для экономии времени и увеличения площади обработки виноградников в смену) рекомендуется сделать или приобрести растворный узел для растворения и смешивания компонентов.</w:t>
      </w:r>
      <w:r/>
    </w:p>
    <w:p>
      <w:pPr>
        <w:pStyle w:val="ListParagraph"/>
        <w:rPr>
          <w:sz w:val="24"/>
          <w:b/>
          <w:sz w:val="24"/>
          <w:b/>
          <w:rFonts w:ascii="Times New Roman" w:hAnsi="Times New Roman" w:cs="Times New Roman"/>
        </w:rPr>
      </w:pPr>
      <w:bookmarkStart w:id="0" w:name="_GoBack"/>
      <w:bookmarkEnd w:id="0"/>
      <w:r>
        <w:rPr>
          <w:rFonts w:cs="Times New Roman" w:ascii="Times New Roman" w:hAnsi="Times New Roman"/>
          <w:b/>
          <w:sz w:val="24"/>
        </w:rPr>
        <w:t>Если вода для растворов имеет низкие технические характеристики, то нужно рассмотреть вопрос о создании станции для подготовки воды с колонками для обессоливания через ионнообменники, или путем прямого осмоса, что в последние годы в России стали широко применять в полеводстве.</w:t>
      </w:r>
      <w:r/>
    </w:p>
    <w:p>
      <w:pPr>
        <w:pStyle w:val="ListParagraph"/>
        <w:rPr>
          <w:sz w:val="24"/>
          <w:b/>
          <w:sz w:val="24"/>
          <w:b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</w:rPr>
      </w:r>
      <w:r/>
    </w:p>
    <w:p>
      <w:pPr>
        <w:pStyle w:val="ListParagraph"/>
        <w:rPr>
          <w:sz w:val="24"/>
          <w:sz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</w:rPr>
        <w:t>На подобной схеме можно получать 15-20 тн винограда с гектара с качеством вина как при 6 тн урожая с гектара.</w:t>
      </w:r>
      <w:r/>
    </w:p>
    <w:p>
      <w:pPr>
        <w:pStyle w:val="Normal"/>
        <w:rPr/>
      </w:pPr>
      <w:r>
        <w:rPr/>
      </w:r>
      <w:r/>
    </w:p>
    <w:sectPr>
      <w:type w:val="nextPage"/>
      <w:pgSz w:w="11906" w:h="16838"/>
      <w:pgMar w:left="345" w:right="341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371" w:defQFormat="0" w:defUnhideWhenUsed="0" w:defSemiHidden="0" w:defUIPriority="99" w:defLockedState="0">
    <w:lsdException w:qFormat="1" w:uiPriority="0" w:name="Normal"/>
    <w:lsdException w:qFormat="1" w:uiPriority="9" w:name="heading 1"/>
    <w:lsdException w:qFormat="1" w:semiHidden="1" w:unhideWhenUsed="1" w:uiPriority="9" w:name="heading 2"/>
    <w:lsdException w:qFormat="1" w:semiHidden="1" w:unhideWhenUsed="1" w:uiPriority="9" w:name="heading 3"/>
    <w:lsdException w:qFormat="1" w:semiHidden="1" w:unhideWhenUsed="1" w:uiPriority="9" w:name="heading 4"/>
    <w:lsdException w:qFormat="1" w:semiHidden="1" w:unhideWhenUsed="1" w:uiPriority="9" w:name="heading 5"/>
    <w:lsdException w:qFormat="1" w:semiHidden="1" w:unhideWhenUsed="1" w:uiPriority="9" w:name="heading 6"/>
    <w:lsdException w:qFormat="1" w:semiHidden="1" w:unhideWhenUsed="1" w:uiPriority="9" w:name="heading 7"/>
    <w:lsdException w:qFormat="1" w:semiHidden="1" w:unhideWhenUsed="1" w:uiPriority="9" w:name="heading 8"/>
    <w:lsdException w:qFormat="1" w:semiHidden="1" w:unhideWhenUsed="1" w:uiPriority="9" w:name="heading 9"/>
    <w:lsdException w:semiHidden="1" w:unhideWhenUsed="1" w:name="index 1"/>
    <w:lsdException w:semiHidden="1" w:unhideWhenUsed="1" w:name="index 2"/>
    <w:lsdException w:semiHidden="1" w:unhideWhenUsed="1" w:name="index 3"/>
    <w:lsdException w:semiHidden="1" w:unhideWhenUsed="1" w:name="index 4"/>
    <w:lsdException w:semiHidden="1" w:unhideWhenUsed="1" w:name="index 5"/>
    <w:lsdException w:semiHidden="1" w:unhideWhenUsed="1" w:name="index 6"/>
    <w:lsdException w:semiHidden="1" w:unhideWhenUsed="1" w:name="index 7"/>
    <w:lsdException w:semiHidden="1" w:unhideWhenUsed="1" w:name="index 8"/>
    <w:lsdException w:semiHidden="1" w:unhideWhenUsed="1" w:name="index 9"/>
    <w:lsdException w:semiHidden="1" w:unhideWhenUsed="1" w:uiPriority="39" w:name="toc 1"/>
    <w:lsdException w:semiHidden="1" w:unhideWhenUsed="1" w:uiPriority="39" w:name="toc 2"/>
    <w:lsdException w:semiHidden="1" w:unhideWhenUsed="1" w:uiPriority="39" w:name="toc 3"/>
    <w:lsdException w:semiHidden="1" w:unhideWhenUsed="1" w:uiPriority="39" w:name="toc 4"/>
    <w:lsdException w:semiHidden="1" w:unhideWhenUsed="1" w:uiPriority="39" w:name="toc 5"/>
    <w:lsdException w:semiHidden="1" w:unhideWhenUsed="1" w:uiPriority="39" w:name="toc 6"/>
    <w:lsdException w:semiHidden="1" w:unhideWhenUsed="1" w:uiPriority="39" w:name="toc 7"/>
    <w:lsdException w:semiHidden="1" w:unhideWhenUsed="1" w:uiPriority="39" w:name="toc 8"/>
    <w:lsdException w:semiHidden="1" w:unhideWhenUsed="1" w:uiPriority="39" w:name="toc 9"/>
    <w:lsdException w:semiHidden="1" w:unhideWhenUsed="1" w:name="Normal Indent"/>
    <w:lsdException w:semiHidden="1" w:unhideWhenUsed="1" w:name="footnote text"/>
    <w:lsdException w:semiHidden="1" w:unhideWhenUsed="1" w:name="annotation text"/>
    <w:lsdException w:semiHidden="1" w:unhideWhenUsed="1" w:name="header"/>
    <w:lsdException w:semiHidden="1" w:unhideWhenUsed="1" w:name="footer"/>
    <w:lsdException w:semiHidden="1" w:unhideWhenUsed="1" w:name="index heading"/>
    <w:lsdException w:qFormat="1" w:semiHidden="1" w:unhideWhenUsed="1" w:uiPriority="35" w:name="caption"/>
    <w:lsdException w:semiHidden="1" w:unhideWhenUsed="1" w:name="table of figures"/>
    <w:lsdException w:semiHidden="1" w:unhideWhenUsed="1" w:name="envelope address"/>
    <w:lsdException w:semiHidden="1" w:unhideWhenUsed="1" w:name="envelope return"/>
    <w:lsdException w:semiHidden="1" w:unhideWhenUsed="1" w:name="footnote reference"/>
    <w:lsdException w:semiHidden="1" w:unhideWhenUsed="1" w:name="annotation reference"/>
    <w:lsdException w:semiHidden="1" w:unhideWhenUsed="1" w:name="line number"/>
    <w:lsdException w:semiHidden="1" w:unhideWhenUsed="1" w:name="page number"/>
    <w:lsdException w:semiHidden="1" w:unhideWhenUsed="1" w:name="endnote reference"/>
    <w:lsdException w:semiHidden="1" w:unhideWhenUsed="1" w:name="endnote text"/>
    <w:lsdException w:semiHidden="1" w:unhideWhenUsed="1" w:name="table of authorities"/>
    <w:lsdException w:semiHidden="1" w:unhideWhenUsed="1" w:name="macro"/>
    <w:lsdException w:semiHidden="1" w:unhideWhenUsed="1" w:name="toa heading"/>
    <w:lsdException w:semiHidden="1" w:unhideWhenUsed="1" w:name="List"/>
    <w:lsdException w:semiHidden="1" w:unhideWhenUsed="1" w:name="List Bullet"/>
    <w:lsdException w:semiHidden="1" w:unhideWhenUsed="1" w:name="List Number"/>
    <w:lsdException w:semiHidden="1" w:unhideWhenUsed="1" w:name="List 2"/>
    <w:lsdException w:semiHidden="1" w:unhideWhenUsed="1" w:name="List 3"/>
    <w:lsdException w:semiHidden="1" w:unhideWhenUsed="1" w:name="List 4"/>
    <w:lsdException w:semiHidden="1" w:unhideWhenUsed="1" w:name="List 5"/>
    <w:lsdException w:semiHidden="1" w:unhideWhenUsed="1" w:name="List Bullet 2"/>
    <w:lsdException w:semiHidden="1" w:unhideWhenUsed="1" w:name="List Bullet 3"/>
    <w:lsdException w:semiHidden="1" w:unhideWhenUsed="1" w:name="List Bullet 4"/>
    <w:lsdException w:semiHidden="1" w:unhideWhenUsed="1" w:name="List Bullet 5"/>
    <w:lsdException w:semiHidden="1" w:unhideWhenUsed="1" w:name="List Number 2"/>
    <w:lsdException w:semiHidden="1" w:unhideWhenUsed="1" w:name="List Number 3"/>
    <w:lsdException w:semiHidden="1" w:unhideWhenUsed="1" w:name="List Number 4"/>
    <w:lsdException w:semiHidden="1" w:unhideWhenUsed="1" w:name="List Number 5"/>
    <w:lsdException w:qFormat="1" w:uiPriority="10" w:name="Title"/>
    <w:lsdException w:semiHidden="1" w:unhideWhenUsed="1" w:name="Closing"/>
    <w:lsdException w:semiHidden="1" w:unhideWhenUsed="1" w:name="Signature"/>
    <w:lsdException w:semiHidden="1" w:unhideWhenUsed="1" w:uiPriority="1" w:name="Default Paragraph Font"/>
    <w:lsdException w:semiHidden="1" w:unhideWhenUsed="1" w:name="Body Text"/>
    <w:lsdException w:semiHidden="1" w:unhideWhenUsed="1" w:name="Body Text Indent"/>
    <w:lsdException w:semiHidden="1" w:unhideWhenUsed="1" w:name="List Continue"/>
    <w:lsdException w:semiHidden="1" w:unhideWhenUsed="1" w:name="List Continue 2"/>
    <w:lsdException w:semiHidden="1" w:unhideWhenUsed="1" w:name="List Continue 3"/>
    <w:lsdException w:semiHidden="1" w:unhideWhenUsed="1" w:name="List Continue 4"/>
    <w:lsdException w:semiHidden="1" w:unhideWhenUsed="1" w:name="List Continue 5"/>
    <w:lsdException w:semiHidden="1" w:unhideWhenUsed="1" w:name="Message Header"/>
    <w:lsdException w:qFormat="1" w:uiPriority="11" w:name="Subtitle"/>
    <w:lsdException w:semiHidden="1" w:unhideWhenUsed="1" w:name="Salutation"/>
    <w:lsdException w:semiHidden="1" w:unhideWhenUsed="1" w:name="Date"/>
    <w:lsdException w:semiHidden="1" w:unhideWhenUsed="1" w:name="Body Text First Indent"/>
    <w:lsdException w:semiHidden="1" w:unhideWhenUsed="1" w:name="Body Text First Indent 2"/>
    <w:lsdException w:semiHidden="1" w:unhideWhenUsed="1" w:name="Note Heading"/>
    <w:lsdException w:semiHidden="1" w:unhideWhenUsed="1" w:name="Body Text 2"/>
    <w:lsdException w:semiHidden="1" w:unhideWhenUsed="1" w:name="Body Text 3"/>
    <w:lsdException w:semiHidden="1" w:unhideWhenUsed="1" w:name="Body Text Indent 2"/>
    <w:lsdException w:semiHidden="1" w:unhideWhenUsed="1" w:name="Body Text Indent 3"/>
    <w:lsdException w:semiHidden="1" w:unhideWhenUsed="1" w:name="Block Text"/>
    <w:lsdException w:semiHidden="1" w:unhideWhenUsed="1" w:name="Hyperlink"/>
    <w:lsdException w:semiHidden="1" w:unhideWhenUsed="1" w:name="FollowedHyperlink"/>
    <w:lsdException w:qFormat="1" w:uiPriority="22" w:name="Strong"/>
    <w:lsdException w:qFormat="1" w:uiPriority="20" w:name="Emphasis"/>
    <w:lsdException w:semiHidden="1" w:unhideWhenUsed="1" w:name="Document Map"/>
    <w:lsdException w:semiHidden="1" w:unhideWhenUsed="1" w:name="Plain Text"/>
    <w:lsdException w:semiHidden="1" w:unhideWhenUsed="1" w:name="E-mail Signature"/>
    <w:lsdException w:semiHidden="1" w:unhideWhenUsed="1" w:name="HTML Top of Form"/>
    <w:lsdException w:semiHidden="1" w:unhideWhenUsed="1" w:name="HTML Bottom of Form"/>
    <w:lsdException w:semiHidden="1" w:unhideWhenUsed="1" w:name="Normal (Web)"/>
    <w:lsdException w:semiHidden="1" w:unhideWhenUsed="1" w:name="HTML Acronym"/>
    <w:lsdException w:semiHidden="1" w:unhideWhenUsed="1" w:name="HTML Address"/>
    <w:lsdException w:semiHidden="1" w:unhideWhenUsed="1" w:name="HTML Cite"/>
    <w:lsdException w:semiHidden="1" w:unhideWhenUsed="1" w:name="HTML Code"/>
    <w:lsdException w:semiHidden="1" w:unhideWhenUsed="1" w:name="HTML Definition"/>
    <w:lsdException w:semiHidden="1" w:unhideWhenUsed="1" w:name="HTML Keyboard"/>
    <w:lsdException w:semiHidden="1" w:unhideWhenUsed="1" w:name="HTML Preformatted"/>
    <w:lsdException w:semiHidden="1" w:unhideWhenUsed="1" w:name="HTML Sample"/>
    <w:lsdException w:semiHidden="1" w:unhideWhenUsed="1" w:name="HTML Typewriter"/>
    <w:lsdException w:semiHidden="1" w:unhideWhenUsed="1" w:name="HTML Variable"/>
    <w:lsdException w:semiHidden="1" w:unhideWhenUsed="1" w:name="Normal Table"/>
    <w:lsdException w:semiHidden="1" w:unhideWhenUsed="1" w:name="annotation subject"/>
    <w:lsdException w:semiHidden="1" w:unhideWhenUsed="1" w:name="No List"/>
    <w:lsdException w:semiHidden="1" w:unhideWhenUsed="1" w:name="Outline List 1"/>
    <w:lsdException w:semiHidden="1" w:unhideWhenUsed="1" w:name="Outline List 2"/>
    <w:lsdException w:semiHidden="1" w:unhideWhenUsed="1" w:name="Outline List 3"/>
    <w:lsdException w:semiHidden="1" w:unhideWhenUsed="1" w:name="Table Simple 1"/>
    <w:lsdException w:semiHidden="1" w:unhideWhenUsed="1" w:name="Table Simple 2"/>
    <w:lsdException w:semiHidden="1" w:unhideWhenUsed="1" w:name="Table Simple 3"/>
    <w:lsdException w:semiHidden="1" w:unhideWhenUsed="1" w:name="Table Classic 1"/>
    <w:lsdException w:semiHidden="1" w:unhideWhenUsed="1" w:name="Table Classic 2"/>
    <w:lsdException w:semiHidden="1" w:unhideWhenUsed="1" w:name="Table Classic 3"/>
    <w:lsdException w:semiHidden="1" w:unhideWhenUsed="1" w:name="Table Classic 4"/>
    <w:lsdException w:semiHidden="1" w:unhideWhenUsed="1" w:name="Table Colorful 1"/>
    <w:lsdException w:semiHidden="1" w:unhideWhenUsed="1" w:name="Table Colorful 2"/>
    <w:lsdException w:semiHidden="1" w:unhideWhenUsed="1" w:name="Table Colorful 3"/>
    <w:lsdException w:semiHidden="1" w:unhideWhenUsed="1" w:name="Table Columns 1"/>
    <w:lsdException w:semiHidden="1" w:unhideWhenUsed="1" w:name="Table Columns 2"/>
    <w:lsdException w:semiHidden="1" w:unhideWhenUsed="1" w:name="Table Columns 3"/>
    <w:lsdException w:semiHidden="1" w:unhideWhenUsed="1" w:name="Table Columns 4"/>
    <w:lsdException w:semiHidden="1" w:unhideWhenUsed="1" w:name="Table Columns 5"/>
    <w:lsdException w:semiHidden="1" w:unhideWhenUsed="1" w:name="Table Grid 1"/>
    <w:lsdException w:semiHidden="1" w:unhideWhenUsed="1" w:name="Table Grid 2"/>
    <w:lsdException w:semiHidden="1" w:unhideWhenUsed="1" w:name="Table Grid 3"/>
    <w:lsdException w:semiHidden="1" w:unhideWhenUsed="1" w:name="Table Grid 4"/>
    <w:lsdException w:semiHidden="1" w:unhideWhenUsed="1" w:name="Table Grid 5"/>
    <w:lsdException w:semiHidden="1" w:unhideWhenUsed="1" w:name="Table Grid 6"/>
    <w:lsdException w:semiHidden="1" w:unhideWhenUsed="1" w:name="Table Grid 7"/>
    <w:lsdException w:semiHidden="1" w:unhideWhenUsed="1" w:name="Table Grid 8"/>
    <w:lsdException w:semiHidden="1" w:unhideWhenUsed="1" w:name="Table List 1"/>
    <w:lsdException w:semiHidden="1" w:unhideWhenUsed="1" w:name="Table List 2"/>
    <w:lsdException w:semiHidden="1" w:unhideWhenUsed="1" w:name="Table List 3"/>
    <w:lsdException w:semiHidden="1" w:unhideWhenUsed="1" w:name="Table List 4"/>
    <w:lsdException w:semiHidden="1" w:unhideWhenUsed="1" w:name="Table List 5"/>
    <w:lsdException w:semiHidden="1" w:unhideWhenUsed="1" w:name="Table List 6"/>
    <w:lsdException w:semiHidden="1" w:unhideWhenUsed="1" w:name="Table List 7"/>
    <w:lsdException w:semiHidden="1" w:unhideWhenUsed="1" w:name="Table List 8"/>
    <w:lsdException w:semiHidden="1" w:unhideWhenUsed="1" w:name="Table 3D effects 1"/>
    <w:lsdException w:semiHidden="1" w:unhideWhenUsed="1" w:name="Table 3D effects 2"/>
    <w:lsdException w:semiHidden="1" w:unhideWhenUsed="1" w:name="Table 3D effects 3"/>
    <w:lsdException w:semiHidden="1" w:unhideWhenUsed="1" w:name="Table Contemporary"/>
    <w:lsdException w:semiHidden="1" w:unhideWhenUsed="1" w:name="Table Elegant"/>
    <w:lsdException w:semiHidden="1" w:unhideWhenUsed="1" w:name="Table Professional"/>
    <w:lsdException w:semiHidden="1" w:unhideWhenUsed="1" w:name="Table Subtle 1"/>
    <w:lsdException w:semiHidden="1" w:unhideWhenUsed="1" w:name="Table Subtle 2"/>
    <w:lsdException w:semiHidden="1" w:unhideWhenUsed="1" w:name="Table Web 1"/>
    <w:lsdException w:semiHidden="1" w:unhideWhenUsed="1" w:name="Table Web 2"/>
    <w:lsdException w:semiHidden="1" w:unhideWhenUsed="1" w:name="Table Web 3"/>
    <w:lsdException w:semiHidden="1" w:unhideWhenUsed="1" w:name="Balloon Text"/>
    <w:lsdException w:uiPriority="59" w:name="Table Grid"/>
    <w:lsdException w:semiHidden="1" w:unhideWhenUsed="1" w:name="Table Theme"/>
    <w:lsdException w:semiHidden="1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semiHidden="1" w:unhideWhenUsed="1" w:uiPriority="37" w:name="Bibliography"/>
    <w:lsdException w:qFormat="1" w:semiHidden="1" w:unhideWhenUsed="1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type="paragraph" w:styleId="Normal" w:default="1">
    <w:name w:val="Normal"/>
    <w:qFormat/>
    <w:rsid w:val="00322816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7112a5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Application>LibreOffice/4.3.5.2$Windows_x86 LibreOffice_project/3a87456aaa6a95c63eea1c1b3201acedf0751bd5</Application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2020-05-14T07:48:00Z</dcterms:created>
  <dc:creator>Александр</dc:creator>
  <dc:language>ru-RU</dc:language>
  <cp:lastPrinted>2023-09-14T11:02:15Z</cp:lastPrinted>
  <dcterms:modified xsi:type="dcterms:W3CDTF">2023-09-14T11:05:34Z</dcterms:modified>
  <cp:revision>41</cp:revision>
</cp:coreProperties>
</file>