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Утвержден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Приказом Федерального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агентства по техническому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регулированию и метрологии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от 8 декабря 2008 г. N 362-ст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Дата введения -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января 2010 года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НАЦИОНАЛЬНЫЙ СТАНДАРТ РОССИЙСКОЙ ФЕДЕРАЦИИ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ПОСАДОЧНЫЙ МАТЕРИАЛ ВИНОГРАДА (САЖЕНЦЫ)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ТЕХНИЧЕСКИЕ УСЛОВИЯ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Grape seedlings. Specifications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ГОСТ Р 53025-2008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Предисловие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Цели и принципы стандартизации в Российской Федерации установлены Федеральным законом от 27 декабря 2002 г. N 184-ФЗ "О техническом регулировании", а правила применения национальных стандартов Российской Федерации - ГОСТ Р 1.0-2004 "Стандартизация в Российской Федерации. Основные положения".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Сведения о стандарте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Разработан Открытым акционерным обществом "Научно-исследовательский институт стандартизации и сертификации агропромышленной продукции" (ОАО "НИИССагропродукт").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Внесен Техническим комитетом по стандартизации ТК 433 "Виноград".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Утвержден и введен в действие Приказом Федерального агентства по техническому регулированию и метрологии от 8 декабря 2008 г. N 362-ст.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Введен впервые.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Область применения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Настоящий стандарт распространяется на однолетние и двулетние привитые и корнесобственные саженцы подвойных и привойных сортов, предназначенные для закладки виноградников.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Нормативные ссылки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настоящем стандарте использованы нормативные ссылки на следующие стандарты: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ГОСТ Р 52681-2006. Виноградарство. Термины и определения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ГОСТ 166-89. Штангенциркули. Технические условия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ГОСТ 427-75. Линейки измерительные металлические. Технические условия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ГОСТ 10131-93. Ящики из древесины и древесных материалов для продукции пищевых отраслей промышленности, сельского хозяйства и спичек. Технические условия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ГОСТ 11354-93. Ящики из древесины и древесных материалов многооборотные для продукции пищевых отраслей промышленности и сельского хозяйства. Технические условия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ГОСТ 14192-96. Маркировка грузов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Термины и определения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настоящем стандарте применены термины по ГОСТ Р 52681, а также следующие термины с соответствующими определениями: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Оригинальные саженцы: саженцы, произведенные оригинатором сорта или уполномоченным им лицом из черенков биологической категории. Оригинальные, свободные от основных вирусных болезней и предназначенные для закладки маточников винограда биологической категории. Элитные.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3.2.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Элитные саженцы: саженцы, которые произведены из черенков биологической категории. Элитные, свободные от основных вирусных болезней и предназначенные для закладки маточников винограда биологической категории. Репродукционные.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3.3.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Репродукционные саженцы: саженцы, которые произведены из черенков биологической категории. Репродукционные, свободные от основных вирусных болезней и предназначенные для закладки производственных виноградников.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Классификация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4.1.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Саженцы винограда в зависимости от биологической категории подразделяют на оригинальные, элитные, репродукционные.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4.2.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По способу получения и состоянию саженцы подразделяют на: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корнесобственные саженцы однолетние и двулетние;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корнесобственные саженцы вегетирующие с закрытой корневой системой;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привитые саженцы однолетние и двулетние;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привитые саженцы вегетирующие с закрытой корневой системой.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Технические требования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5.1.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Для выращивания саженцев с целью закладки маточных и производственных виноградников используют сорта, внесенные в Государственный реестр селекционных достижений, допущенных к использованию, утвержденный в установленном порядке [1].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5.2.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Сортовая чистота саженцев должна соответствовать требованиям, указанным в таблице 1.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Таблица 1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tbl>
      <w:tblPr>
        <w:tblInd w:w="75" w:type="dxa"/>
      </w:tblPr>
      <w:tblGrid>
        <w:gridCol w:w="4320"/>
        <w:gridCol w:w="4800"/>
      </w:tblGrid>
      <w:tr>
        <w:trPr>
          <w:trHeight w:val="1" w:hRule="atLeast"/>
          <w:jc w:val="left"/>
        </w:trPr>
        <w:tc>
          <w:tcPr>
            <w:tcW w:w="43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Биологическая категория саженцев </w:t>
            </w:r>
          </w:p>
        </w:tc>
        <w:tc>
          <w:tcPr>
            <w:tcW w:w="4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Норма сортовой чистоты, %, не менее  </w:t>
            </w:r>
          </w:p>
        </w:tc>
      </w:tr>
      <w:tr>
        <w:trPr>
          <w:trHeight w:val="1" w:hRule="atLeast"/>
          <w:jc w:val="left"/>
        </w:trPr>
        <w:tc>
          <w:tcPr>
            <w:tcW w:w="4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Оригинальные                      </w:t>
            </w: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100                                   </w:t>
            </w:r>
          </w:p>
        </w:tc>
      </w:tr>
      <w:tr>
        <w:trPr>
          <w:trHeight w:val="1" w:hRule="atLeast"/>
          <w:jc w:val="left"/>
        </w:trPr>
        <w:tc>
          <w:tcPr>
            <w:tcW w:w="4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Элитные                           </w:t>
            </w: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100                                   </w:t>
            </w:r>
          </w:p>
        </w:tc>
      </w:tr>
      <w:tr>
        <w:trPr>
          <w:trHeight w:val="1" w:hRule="atLeast"/>
          <w:jc w:val="left"/>
        </w:trPr>
        <w:tc>
          <w:tcPr>
            <w:tcW w:w="4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Репродукционные                   </w:t>
            </w:r>
          </w:p>
        </w:tc>
        <w:tc>
          <w:tcPr>
            <w:tcW w:w="4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98                                    </w:t>
            </w:r>
          </w:p>
        </w:tc>
      </w:tr>
    </w:tbl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5.3.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По качеству саженцы должны соответствовать требованиям, указанным в таблице 2.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Таблица 2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tbl>
      <w:tblPr>
        <w:tblInd w:w="75" w:type="dxa"/>
      </w:tblPr>
      <w:tblGrid>
        <w:gridCol w:w="2760"/>
        <w:gridCol w:w="1320"/>
        <w:gridCol w:w="2040"/>
        <w:gridCol w:w="1320"/>
        <w:gridCol w:w="2040"/>
      </w:tblGrid>
      <w:tr>
        <w:trPr>
          <w:trHeight w:val="400" w:hRule="auto"/>
          <w:jc w:val="left"/>
        </w:trPr>
        <w:tc>
          <w:tcPr>
            <w:tcW w:w="276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Наименование     </w:t>
              <w:br/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показателя      </w:t>
            </w:r>
          </w:p>
        </w:tc>
        <w:tc>
          <w:tcPr>
            <w:tcW w:w="672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Характеристика и норма саженцев      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60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однолетний и двулетний  </w:t>
            </w:r>
          </w:p>
        </w:tc>
        <w:tc>
          <w:tcPr>
            <w:tcW w:w="3360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вегетирующий   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корнесоб-</w:t>
              <w:br/>
              <w:t xml:space="preserve">ственный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привитой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корнесоб-</w:t>
              <w:br/>
              <w:t xml:space="preserve">ственный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привитой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Внешний вид          </w:t>
            </w:r>
          </w:p>
        </w:tc>
        <w:tc>
          <w:tcPr>
            <w:tcW w:w="6720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Хорошо развитые, ровные, здоровые, без повреждений </w:t>
              <w:br/>
              <w:t xml:space="preserve">вредными организмами и механических повреждений    </w:t>
            </w:r>
          </w:p>
        </w:tc>
      </w:tr>
      <w:tr>
        <w:trPr>
          <w:trHeight w:val="6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Состояние однолетних </w:t>
              <w:br/>
              <w:t xml:space="preserve">побегов              </w:t>
            </w:r>
          </w:p>
        </w:tc>
        <w:tc>
          <w:tcPr>
            <w:tcW w:w="3360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Вызревшие у основания,   </w:t>
              <w:br/>
              <w:t xml:space="preserve">с хорошо сформированными </w:t>
              <w:br/>
              <w:t xml:space="preserve">глазками                 </w:t>
            </w:r>
          </w:p>
        </w:tc>
        <w:tc>
          <w:tcPr>
            <w:tcW w:w="3360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Зеленые, без подсыхания  </w:t>
              <w:br/>
              <w:t xml:space="preserve">листьев                  </w:t>
            </w:r>
          </w:p>
        </w:tc>
      </w:tr>
      <w:tr>
        <w:trPr>
          <w:trHeight w:val="10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Срастание привоя     </w:t>
              <w:br/>
              <w:t xml:space="preserve">с подвоем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Полное,        </w:t>
              <w:br/>
              <w:t xml:space="preserve">круговое,      </w:t>
              <w:br/>
              <w:t xml:space="preserve">спайка привоя с</w:t>
              <w:br/>
              <w:t xml:space="preserve">подвоем прочная</w:t>
              <w:br/>
              <w:t xml:space="preserve">на изгиб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Полное,        </w:t>
              <w:br/>
              <w:t xml:space="preserve">круговое,      </w:t>
              <w:br/>
              <w:t xml:space="preserve">спайка привоя с</w:t>
              <w:br/>
              <w:t xml:space="preserve">подвоем прочная</w:t>
              <w:br/>
              <w:t xml:space="preserve">на изгиб       </w:t>
            </w:r>
          </w:p>
        </w:tc>
      </w:tr>
      <w:tr>
        <w:trPr>
          <w:trHeight w:val="6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Наличие подвойной    </w:t>
              <w:br/>
              <w:t xml:space="preserve">поросли и/или корней </w:t>
              <w:br/>
              <w:t xml:space="preserve">на привое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Не допускается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Не допускается </w:t>
            </w:r>
          </w:p>
        </w:tc>
      </w:tr>
      <w:tr>
        <w:trPr>
          <w:trHeight w:val="6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Диаметр саженцев в   </w:t>
              <w:br/>
              <w:t xml:space="preserve">середине междоузлия, </w:t>
              <w:br/>
              <w:t xml:space="preserve">мм, не менее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5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5 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5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5          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Длина саженцев, см,  </w:t>
              <w:br/>
              <w:t xml:space="preserve">не менее &lt;*&gt;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40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35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40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35             </w:t>
            </w:r>
          </w:p>
        </w:tc>
      </w:tr>
      <w:tr>
        <w:trPr>
          <w:trHeight w:val="6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Длина вызревшей части</w:t>
              <w:br/>
              <w:t xml:space="preserve">однолетнего побега,  </w:t>
              <w:br/>
              <w:t xml:space="preserve">см, не менее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20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20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  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Длина зеленого       </w:t>
              <w:br/>
              <w:t xml:space="preserve">побега, см, не менее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8 - 25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8 - 25         </w:t>
            </w:r>
          </w:p>
        </w:tc>
      </w:tr>
      <w:tr>
        <w:trPr>
          <w:trHeight w:val="6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Количество листьев   </w:t>
              <w:br/>
              <w:t xml:space="preserve">на зеленом побеге,   </w:t>
              <w:br/>
              <w:t xml:space="preserve">шт., не менее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- 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4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4          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Количество основных  </w:t>
              <w:br/>
              <w:t xml:space="preserve">корней, шт., не менее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3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3 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3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3              </w:t>
            </w:r>
          </w:p>
        </w:tc>
      </w:tr>
      <w:tr>
        <w:trPr>
          <w:trHeight w:val="400" w:hRule="auto"/>
          <w:jc w:val="left"/>
        </w:trPr>
        <w:tc>
          <w:tcPr>
            <w:tcW w:w="276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Длина основных       </w:t>
              <w:br/>
              <w:t xml:space="preserve">корней, не менее, см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12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12             </w:t>
            </w:r>
          </w:p>
        </w:tc>
        <w:tc>
          <w:tcPr>
            <w:tcW w:w="132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8        </w:t>
            </w:r>
          </w:p>
        </w:tc>
        <w:tc>
          <w:tcPr>
            <w:tcW w:w="204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8              </w:t>
            </w:r>
          </w:p>
        </w:tc>
      </w:tr>
      <w:tr>
        <w:trPr>
          <w:trHeight w:val="1000" w:hRule="auto"/>
          <w:jc w:val="left"/>
        </w:trPr>
        <w:tc>
          <w:tcPr>
            <w:tcW w:w="9480" w:type="dxa"/>
            <w:gridSpan w:val="5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4" w:type="dxa"/>
              <w:right w:w="7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 &lt;*&gt;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 регионах при глубоком  промерзании  почвы  свыше  30  см  длина</w:t>
              <w:br/>
              <w:t xml:space="preserve">корнесобственных саженцев 50 см, привитых 45 см.                         </w:t>
              <w:br/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   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Примечание - Длина привитых виноградных саженцев не включает  в  себя</w:t>
              <w:br/>
              <w:t xml:space="preserve">привойную часть.                                                         </w:t>
            </w:r>
          </w:p>
        </w:tc>
      </w:tr>
    </w:tbl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5.4.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годы с неблагоприятными условиями (сумма активных температур воздуха менее 3100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°C)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для развития саженцев, при длине вызревшего однолетнего побега менее 20 см, целесообразно оставлять саженцы в школке на второй год.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Требования безопасности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6.1.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Не допускается использование саженцев для закладки виноградных маточников и производственных насаждений, не прошедших фитосанитарную проверку и пораженных карантинными объектами [2].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6.2.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Зараженность и загрязненность саженцев вредными организмами не должны превышать допустимые уровни, установленные нормативными правовыми актами Российской Федерации &lt;*&gt;.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--------------------------------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&lt;*&gt;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До введения соответствующих нормативных правовых актов Российской Федерации - нормативными документами федеральных органов исполнительной власти [2], [3].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Упаковка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7.1.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Привитые и корнесобственные саженцы увязывают в пучки по 25 или 50 шт. Каждый пучок плотно обвязывают в трех местах материалом, устойчивым к сырости и не повреждающим саженцы.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7.2.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Саженцы, предназначенные для перевозки на дальние расстояния (более 400 км), связывают по 10 - 20 пучков (250 - 500 шт.) и упаковывают в тюки. Максимальные размеры упаковки составляют 100 х 100 х 50 см, массой до 50 кг.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Допускаются иные способы упаковывания, по согласованию с потребителем, обеспечивающие сохранность качества саженцев.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Саженцы винограда, вегетирующие с закрытой корневой системой, упаковывают в ящики по ГОСТ 10131, ГОСТ 11354, устанавливая контейнеры вертикально, вплотную друг к другу.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Маркировка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8.1.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 каждому пучку прикрепляют этикетку, на которой указывают: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наименование ампелографического сорта привоя и подвоя;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биологическую категорию саженцев и способ получения;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количество саженцев;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номер партии;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наименование производителя;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обозначение настоящего стандарта.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8.2.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Транспортную маркировку упаковок выполняют по ГОСТ 14192 с указанием: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номера партии;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адреса получателя;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адреса отправителя;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ампелографического сорта привоя и подвоя;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биологической категории саженцев и способа получения;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количества саженцев в тюках;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обозначения настоящего стандарта.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8.3.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На упаковках должен быть нанесен манипуляционный знак "Соблюдение интервала температур".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Правила приемки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9.1.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Саженцы винограда принимают партиями. Партией считают любое количество саженцев, выращенных в одном хозяйстве, одного ампелографического сорта, одной биологической категории и способа получения, одного возраста, привитых на одном сорте подвоя, предназначенных к одновременной сдаче-приемке и оформленных одним документом о качестве установленной формы. Партия саженцев, предназначенная для реализации за пределами области, края, республики без областного деления, должна сопровождаться карантинным сертификатом.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9.2.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Для контроля соответствия качества привитых и корнесобственных саженцев требованиям настоящего стандарта из партии, имеющей до 10000 шт. саженцев, отбирают 2% саженцев и от партии свыше 10000 шт. отбирают 1% саженцев, составляющих объединенную пробу. Для составления объединенной пробы из разных мест партии отбирают точечные пробы по 10 саженцев.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После окончания анализа саженцы объединенной пробы связывают в пучок, пломбируют и хранят вместе с партией саженцев до ее использования.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Для контроля качества вегетирующих саженцев винограда с закрытой корневой системой на соответствие требованиям настоящего стандарта из разных мест партии отбирают среднюю пробу в количестве 50 шт. от партии до 10000 штук и 0,5% от партии свыше 10000 штук.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9.3.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партии допускается наличие саженцев, не более: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1%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 отклонением по длине саженца;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1%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 расколами на месте спайки и разломившейся привойной частью;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2%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 механическими повреждениями и отклонениями по длине и диаметру вызревшего побега;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2%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 отклонением по количеству и длине корней;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5%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пораженных пятнистым некрозом.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9.4.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Партия считается соответствующей требованиям настоящего стандарта, если в результате анализов пробы установлено, что общее количество не соответствующих требованиям настоящего стандарта саженцев не превышает 5%. Если количество несоответствующих саженцев превышает 5% даже по одному из показателей, партия отклоняется или подлежит пересортировке и повторному контролю. В случае повторного подтверждения несоответствия саженцев требованиям стандарта партия бракуется.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Методы контроля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Отбор проб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Качество саженцев определяют по объединенной пробе, которую составляют из саженцев, отобранных по 9.2.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10.1.2.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Средства измерений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Применяют следующие средства измерений: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Линейка по ГОСТ 427.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Штангенциркуль по ГОСТ 166.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Подготовка к анализу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Парафинированные саженцы перед определением качества освобождают от парафина путем их погружения в воду с температурой 70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°C - 80 °C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течение 3 - 6 с.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Проведение анализа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Проверке по качеству подлежат все саженцы, отобранные по 9.2, из которых составлена объединенная проба. Результаты проверки распространяют на всю партию.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Внешний вид, наличие механических повреждений, а также внешних признаков поражения болезнями и вредителями проверяют визуально.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Длину саженцев, побегов и корней измеряют линейкой по ГОСТ 427 с погрешностью до 1 см.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Длину привитых саженцев измеряют от пятки до места спайки, а корнесобственных саженцев - от пятки до верхушки вызревшего побега.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Длину вызревшего побега измеряют от его основания до конца вызревшей части.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Длину корней измеряют от пятки саженца.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Диаметр побегов и корней измеряют штангенциркулем по ГОСТ 166.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Диаметр однолетнего побега измеряют в середине первого междоузлия по наименьшему диаметру. У саженцев, выращенных из укороченных черенков, диаметр побега измеряют в середине первого междоузлия, находящегося выше уровня предполагаемого подземного штамба.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Диаметр корней измеряют на расстоянии 10 мм от пятки. Измерения проводят только у тех корней, которые соответствуют требованиям стандарта по длине.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Сохранность глазков на вызревшем побеге определяют путем продольного разреза каждого глазка лезвием бритвы от верхушки к основанию и просмотра трех почек в глазке. Полноценным считается глазок, имеющий не менее двух живых почек. У живой почки конус роста окрашен в зеленый цвет.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10.3.11.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Число саженцев, пораженных болезнями, определяют на пробе из 50 шт., отобранной из группы саженцев, соответствующих требованиям настоящего стандарта по внешнему виду.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10.3.12.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Срастание привоя с подвоем определяют визуально, путем кругового изгибания саженцев в месте их соединения.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Для проверки качества срастания саженец держат левой рукой за подвой ниже места прививки, а правой - между большим и указательным пальцем правой руки. Затем верхушку саженца осторожно отгибают вправо и влево по продольной оси. Если имеются дефекты в срастании, то привой при такой проверке отламывается или становится видна щель ("зевота") между подвоем и привоем. Затем подвой также наклоняют в разные стороны. Если на нем имеются дефекты, он переламывается.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Сортовая чистота - по [3], [4].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По результатам анализа подсчитывают и записывают с точностью до единицы количество саженцев с отклонениями по каждому нормируемому показателю и общее количество саженцев в объединенной пробе.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10.6.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Обработка результатов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Количественное содержание саженцев, не соответствующих нормируемому показателю K, %, вычисляют по формуле: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                                   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  <w:vertAlign w:val="subscript"/>
        </w:rPr>
        <w:t xml:space="preserve">1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                           K = ---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х 100,                            (1)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                                   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где: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  <w:vertAlign w:val="subscript"/>
        </w:rPr>
        <w:t xml:space="preserve">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количество саженцев, не соответствующих  нормируемому  показателю, шт.;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    a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количество саженцев в объединенной пробе, шт.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Вычисления проводят с точностью до первого десятичного знака. Полученные результаты сравнивают со значениями, указанными в таблице 2 и 9.3.</w:t>
      </w:r>
    </w:p>
    <w:p>
      <w:pPr>
        <w:spacing w:before="12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Транспортирование и хранение</w:t>
      </w:r>
    </w:p>
    <w:p>
      <w:pPr>
        <w:spacing w:before="120" w:after="0" w:line="240"/>
        <w:ind w:right="0" w:left="0" w:firstLine="53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Транспортирование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Саженцы транспортируют в пучках всеми видами транспорта в крытых транспортных средствах в соответствии с правилами перевозки грузов, действующими на транспорте данного вида. Погрузку и транспортирование выполняют при температуре наружного воздуха не ниже 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°C.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При более низких температурах перевозку саженцев осуществляют в рефрижераторах.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11.2.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Хранение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11.2.1.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Хранение саженцев осуществляется в специальных хранилищах, подвалах или холодильных камерах.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регионах, где нет опасности подмерзания однолетнего прироста и корневой системы, допускается хранение саженцев в прикопках.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11.2.2.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Высота штабеля саженцев при хранении в помещениях с регулируемой влажностью и температурой должна быть не более 2,0 м, а в подвалах или других хранилищах - не более 1,5 м.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11.2.3.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Температура воздуха при хранении саженцев должна быть от 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°C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до 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°C.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11.2.4.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Относительная влажность воздуха при хранении саженцев должна быть 80% - 85%.</w:t>
      </w:r>
    </w:p>
    <w:p>
      <w:pPr>
        <w:spacing w:before="12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  <w:t xml:space="preserve">Библиография</w:t>
      </w:r>
    </w:p>
    <w:p>
      <w:pPr>
        <w:spacing w:before="120" w:after="0" w:line="240"/>
        <w:ind w:right="0" w:left="0" w:firstLine="53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[1]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Государственный реестр селекционных достижений, допущенных к использованию (сорта растений). М.: Ежегодное официальное издание ФГУ "Государственная комиссия РФ по испытанию и охране селекционных достижений"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[2]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Перечень вредителей, возбудителей болезней растений, сорняков, имеющих карантинное значение для Российской Федерации (утвержден Минсельхозом России 31 марта 2003 г.)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[3]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Технология производства безвирусного посадочного материала плодовых, ягодных культур и винограда. Утверждена Союзплодопитомником, 1989 г.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[4]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Инструкция по проведению апробации и массовой селекции виноградных насаждений. Утверждена МСХ СССР, 1977 г.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МИНИСТЕРСТВО ПРОМЫШЛЕННОСТИ И ЭНЕРГЕТИКИ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РОССИЙСКОЙ ФЕДЕРАЦИИ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ФЕДЕРАЛЬНОЕ АГЕНТСТВО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ПО ТЕХНИЧЕСКОМУ РЕГУЛИРОВАНИЮ И МЕТРОЛОГИИ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ПРИКАЗ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от 8 декабря 2008 г. N 362-ст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ОБ УТВЕРЖДЕНИИ НАЦИОНАЛЬНОГО СТАНДАРТА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 соответствии с Федеральным законом от 27 декабря 2002 г. N 184-ФЗ "О техническом регулировании" приказываю: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Утвердить для добровольного применения национальный стандарт Российской Федерации ГОСТ Р 53025-2008 "Посадочный материал винограда (саженцы). Технические условия" с датой введения в действие 1 января 2010 г. с правом досрочного применения.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Введен впервые.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Прекратить применение на территории Российской Федерации ГОСТ 28182-89 "Саженцы винограда. Технические условия" с 1 января 2010 г. в связи с утверждением и введением в действие указанного в пункте 1 стандарта.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  <w:t xml:space="preserve">Закрепить утвержденный стандарт за Управлением технического регулирования и стандартизации.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Руководитель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Федерального агентства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Г.И.ЭЛЬКИН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